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72462" w:rsidRPr="00872462" w:rsidTr="00686449">
        <w:tc>
          <w:tcPr>
            <w:tcW w:w="4471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654F4B" wp14:editId="2A9FD61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311785</wp:posOffset>
                      </wp:positionV>
                      <wp:extent cx="603758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CgiTXv3gAAAAgBAAAPAAAAZHJzL2Rvd25yZXYueG1sTI/NTsMwEITv&#10;SLyDtUhcEHWaIpqGOFUViUsPSLRIXLfx5kfEdrDdJrw9izjAcWdGs98U29kM4kI+9M4qWC4SEGRr&#10;p3vbKng7Pt9nIEJEq3FwlhR8UYBteX1VYK7dZF/pcoit4BIbclTQxTjmUoa6I4Nh4Uay7DXOG4x8&#10;+lZqjxOXm0GmSfIoDfaWP3Q4UtVR/XE4GwXt5353XOl3rParqWqm5sVX2Z1Stzfz7glEpDn+heEH&#10;n9GhZKaTO1sdxKAgXaecVPCwWYJgf7POeNvpV5BlIf8PKL8BAAD//wMAUEsBAi0AFAAGAAgAAAAh&#10;ALaDOJL+AAAA4QEAABMAAAAAAAAAAAAAAAAAAAAAAFtDb250ZW50X1R5cGVzXS54bWxQSwECLQAU&#10;AAYACAAAACEAOP0h/9YAAACUAQAACwAAAAAAAAAAAAAAAAAvAQAAX3JlbHMvLnJlbHNQSwECLQAU&#10;AAYACAAAACEAH/XgwVYCAABmBAAADgAAAAAAAAAAAAAAAAAuAgAAZHJzL2Uyb0RvYy54bWxQSwEC&#10;LQAUAAYACAAAACEAoIk1794AAAAIAQAADwAAAAAAAAAAAAAAAACwBAAAZHJzL2Rvd25yZXYueG1s&#10;UEsFBgAAAAAEAAQA8wAAALsFAAAAAA==&#10;" strokeweight=".79mm">
                      <v:stroke joinstyle="miter"/>
                    </v:line>
                  </w:pict>
                </mc:Fallback>
              </mc:AlternateContent>
            </w:r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районы,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Я</w:t>
            </w:r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ңы</w:t>
            </w:r>
            <w:proofErr w:type="spellEnd"/>
            <w:proofErr w:type="gram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</w:t>
            </w:r>
            <w:proofErr w:type="gramEnd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әлсер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ауылы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E46AF9" wp14:editId="65E8A4A7">
                  <wp:extent cx="1036955" cy="1064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</w:p>
        </w:tc>
      </w:tr>
    </w:tbl>
    <w:p w:rsidR="00872462" w:rsidRPr="00872462" w:rsidRDefault="00872462" w:rsidP="00872462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0"/>
          <w:lang w:eastAsia="ar-SA"/>
        </w:rPr>
      </w:pP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4E5AFA" w:rsidRDefault="004E5AFA" w:rsidP="004E5A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2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20 апреля 2018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E5AFA" w:rsidRPr="00AB56A3" w:rsidRDefault="004E5AFA" w:rsidP="004E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17A51">
        <w:rPr>
          <w:rFonts w:ascii="Times New Roman" w:eastAsia="Times New Roman" w:hAnsi="Times New Roman"/>
          <w:sz w:val="28"/>
          <w:szCs w:val="28"/>
          <w:lang w:eastAsia="ru-RU"/>
        </w:rPr>
        <w:t>127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  проекта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 «Об утверждении отчета  об исполнении</w:t>
      </w:r>
      <w:r w:rsidRPr="00811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сельского поселения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  <w:r w:rsidRPr="00811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Аургазинский район</w:t>
      </w:r>
      <w:r w:rsidR="00217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 за 2017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  и о проведении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МР Аургазинский район РБ </w:t>
      </w:r>
    </w:p>
    <w:p w:rsidR="004E5AFA" w:rsidRPr="00AB56A3" w:rsidRDefault="00217A51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2017</w:t>
      </w:r>
      <w:r w:rsidR="004E5AFA"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A51" w:rsidRPr="00AB56A3" w:rsidRDefault="00217A51" w:rsidP="00217A51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Положением «О публичных слушаниях в Сельском поселении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утвержденным решением Совета № 61/1 от 25.10.2007г.,  Совет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</w:t>
      </w:r>
      <w:proofErr w:type="gram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217A51" w:rsidRPr="00B741EE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 проекту решения «Об утверждении отчета об исполнении бюджета сельского поселения муниципального района Аургазинский район Республики Баш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кортостан за 2017 год» на 15ч. 05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здание Администрации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д.  Новый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 д.33</w:t>
      </w: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за 2017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следующем составе:</w:t>
      </w:r>
    </w:p>
    <w:p w:rsidR="00217A51" w:rsidRPr="00872462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-председатель комиссии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17A51" w:rsidRPr="00872462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комиссии</w:t>
      </w:r>
      <w:r w:rsidRP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депутат от избирательного округа  № 8; </w:t>
      </w:r>
    </w:p>
    <w:p w:rsidR="00217A51" w:rsidRPr="00872462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217A51" w:rsidRPr="00872462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217A51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– депут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 от избирательного округа </w:t>
      </w:r>
    </w:p>
    <w:p w:rsidR="00217A51" w:rsidRPr="00872462" w:rsidRDefault="00217A51" w:rsidP="002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письменные предложения по проекту решения Совета «Об утверждении отчета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за 2017 год» принимаются по 04 мая 2018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после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д.  Новый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 д.33, комиссией по подготовке и проведению публичных слушаний.</w:t>
      </w: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>вокальчировский</w:t>
      </w:r>
      <w:proofErr w:type="spellEnd"/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опубликовать на сайте сельского поселения.</w:t>
      </w: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17A51" w:rsidRDefault="00217A51" w:rsidP="002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A51" w:rsidRDefault="00217A51" w:rsidP="00217A51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A51" w:rsidRPr="00217A51" w:rsidRDefault="00217A51" w:rsidP="00217A51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A51">
        <w:rPr>
          <w:rFonts w:ascii="Times New Roman" w:eastAsia="Times New Roman" w:hAnsi="Times New Roman"/>
          <w:sz w:val="24"/>
          <w:szCs w:val="24"/>
          <w:lang w:eastAsia="ru-RU"/>
        </w:rPr>
        <w:t xml:space="preserve">д. Новый </w:t>
      </w:r>
      <w:proofErr w:type="spellStart"/>
      <w:r w:rsidRPr="00217A51">
        <w:rPr>
          <w:rFonts w:ascii="Times New Roman" w:eastAsia="Times New Roman" w:hAnsi="Times New Roman"/>
          <w:sz w:val="24"/>
          <w:szCs w:val="24"/>
          <w:lang w:eastAsia="ru-RU"/>
        </w:rPr>
        <w:t>Кальчир</w:t>
      </w:r>
      <w:proofErr w:type="spellEnd"/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17A51" w:rsidRPr="00AB56A3" w:rsidRDefault="00217A51" w:rsidP="00217A5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A51" w:rsidRDefault="00217A51" w:rsidP="00217A51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</w:t>
      </w:r>
      <w:r w:rsidR="00217A51"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217A51" w:rsidRDefault="00217A51" w:rsidP="0087246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872462" w:rsidRDefault="00872462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A51">
        <w:rPr>
          <w:rFonts w:ascii="Times New Roman" w:eastAsia="Times New Roman" w:hAnsi="Times New Roman"/>
          <w:sz w:val="28"/>
          <w:szCs w:val="28"/>
          <w:lang w:eastAsia="ru-RU"/>
        </w:rPr>
        <w:t>сельсовет за 2017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872462" w:rsidRDefault="00872462" w:rsidP="00872462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доходам в сумме  </w:t>
      </w:r>
      <w:r w:rsidR="00217A51">
        <w:rPr>
          <w:rFonts w:ascii="Times New Roman" w:eastAsia="Times New Roman" w:hAnsi="Times New Roman"/>
          <w:sz w:val="28"/>
          <w:szCs w:val="28"/>
          <w:lang w:eastAsia="ru-RU"/>
        </w:rPr>
        <w:t>2 741 411,74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872462" w:rsidRDefault="00872462" w:rsidP="00872462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217A51">
        <w:rPr>
          <w:rFonts w:ascii="Times New Roman" w:eastAsia="Times New Roman" w:hAnsi="Times New Roman"/>
          <w:sz w:val="28"/>
          <w:szCs w:val="28"/>
          <w:lang w:eastAsia="ru-RU"/>
        </w:rPr>
        <w:t>2 773 952,31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872462" w:rsidRDefault="00872462" w:rsidP="00872462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A51" w:rsidRDefault="00217A51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  <w:r w:rsidR="00217A5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217A51" w:rsidRDefault="00217A51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788" w:rsidRDefault="00293788"/>
    <w:sectPr w:rsidR="00293788" w:rsidSect="00217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2"/>
    <w:rsid w:val="00203F02"/>
    <w:rsid w:val="00217135"/>
    <w:rsid w:val="00217A51"/>
    <w:rsid w:val="00293788"/>
    <w:rsid w:val="004E5AFA"/>
    <w:rsid w:val="00507283"/>
    <w:rsid w:val="006227A0"/>
    <w:rsid w:val="008118D7"/>
    <w:rsid w:val="00872462"/>
    <w:rsid w:val="009E35C6"/>
    <w:rsid w:val="00AB56A3"/>
    <w:rsid w:val="00B741EE"/>
    <w:rsid w:val="00C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2018-04-20T07:35:00Z</cp:lastPrinted>
  <dcterms:created xsi:type="dcterms:W3CDTF">2016-05-24T04:47:00Z</dcterms:created>
  <dcterms:modified xsi:type="dcterms:W3CDTF">2018-04-20T07:36:00Z</dcterms:modified>
</cp:coreProperties>
</file>